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39" w:rsidRDefault="00711039" w:rsidP="00711039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711039" w:rsidRDefault="00711039" w:rsidP="00711039">
      <w:pPr>
        <w:pStyle w:val="wordsection1"/>
        <w:jc w:val="center"/>
        <w:rPr>
          <w:sz w:val="28"/>
          <w:szCs w:val="28"/>
          <w:lang w:eastAsia="en-US"/>
        </w:rPr>
      </w:pPr>
    </w:p>
    <w:p w:rsidR="00711039" w:rsidRPr="00D94C32" w:rsidRDefault="00711039" w:rsidP="00711039">
      <w:pPr>
        <w:pStyle w:val="wordsection1"/>
        <w:jc w:val="center"/>
        <w:rPr>
          <w:sz w:val="28"/>
          <w:szCs w:val="28"/>
          <w:lang w:eastAsia="en-US"/>
        </w:rPr>
      </w:pPr>
    </w:p>
    <w:p w:rsidR="00711039" w:rsidRDefault="00711039" w:rsidP="00711039">
      <w:pPr>
        <w:autoSpaceDE w:val="0"/>
        <w:autoSpaceDN w:val="0"/>
        <w:spacing w:before="240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a 2022. évi költségvetésről szóló 6/2022. (II. 17.) önkormányzati rendelet módosítására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711039" w:rsidRDefault="00711039" w:rsidP="00711039">
      <w:pPr>
        <w:autoSpaceDE w:val="0"/>
        <w:autoSpaceDN w:val="0"/>
        <w:spacing w:before="240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>Tulajdonosi döntés a Klauzál téren létesítendő közvilágítás célját szolgáló berendezések tulajdonjogának és üzemeltetésének átadásáról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711039" w:rsidRDefault="00711039" w:rsidP="0071103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3}}"/>
          <w:tag w:val="{{sord.mapKeys.ONPNUM3}}"/>
          <w:id w:val="-1982923552"/>
        </w:sdtPr>
        <w:sdtContent>
          <w:r>
            <w:rPr>
              <w:rStyle w:val="FTNR12"/>
              <w:b w:val="0"/>
              <w:bCs/>
              <w:szCs w:val="24"/>
            </w:rPr>
            <w:t>3.)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3}}"/>
          <w:tag w:val="{{sord.mapKeys.ONPSUBJECT3}}"/>
          <w:id w:val="-1943148460"/>
        </w:sdtPr>
        <w:sdtContent>
          <w:r>
            <w:rPr>
              <w:rStyle w:val="TNR12"/>
              <w:szCs w:val="24"/>
            </w:rPr>
            <w:t>Döntés az ajándékutalványok kiosztásának lezárásáról, illetve rendelkezés a megmaradt utalványok felhasználásáról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3}}"/>
          <w:tag w:val="{{sord.mapKeys.OPRE3}}"/>
          <w:id w:val="152351608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}}"/>
          <w:tag w:val="{{sord.mapKeys.OPREPAR3}}"/>
          <w:id w:val="-17105526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}}"/>
          <w:tag w:val="{{sord.mapKeys.OPREPTITLE3}}"/>
          <w:id w:val="-420489656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711039" w:rsidRDefault="00711039" w:rsidP="0071103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4}}"/>
          <w:tag w:val="{{sord.mapKeys.ONPNUM4}}"/>
          <w:id w:val="578176531"/>
        </w:sdtPr>
        <w:sdtContent>
          <w:r>
            <w:rPr>
              <w:rStyle w:val="FTNR12"/>
              <w:b w:val="0"/>
              <w:bCs/>
              <w:szCs w:val="24"/>
            </w:rPr>
            <w:t>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4}}"/>
          <w:tag w:val="{{sord.mapKeys.ONPSUBJECT4}}"/>
          <w:id w:val="-1699463083"/>
        </w:sdtPr>
        <w:sdtContent>
          <w:r>
            <w:rPr>
              <w:rStyle w:val="TNR12"/>
              <w:szCs w:val="24"/>
            </w:rPr>
            <w:t>Tulajdonosi döntés Külső-Erzsébetváros közterületén különböző helyszíneken telepítendő MOBI-pontok megépítéséhez, valamint kizárólagos lakossági parkolóhelyek kialakításához szükséges döntések meghozatala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4}}"/>
          <w:tag w:val="{{sord.mapKeys.OPRE4}}"/>
          <w:id w:val="139963288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4}}"/>
          <w:tag w:val="{{sord.mapKeys.OPREPAR4}}"/>
          <w:id w:val="1281845046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4}}"/>
          <w:tag w:val="{{sord.mapKeys.OPREPTITLE4}}"/>
          <w:id w:val="-628469080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711039" w:rsidRDefault="00711039" w:rsidP="00711039">
      <w:pPr>
        <w:rPr>
          <w:rFonts w:ascii="Calibri" w:hAnsi="Calibri" w:cs="Calibri"/>
        </w:rPr>
      </w:pPr>
    </w:p>
    <w:p w:rsidR="00711039" w:rsidRDefault="00711039" w:rsidP="007110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711039" w:rsidRDefault="00711039" w:rsidP="007110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039" w:rsidRPr="00DC5622" w:rsidRDefault="00711039" w:rsidP="007110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Budapest, 2022. </w:t>
      </w:r>
      <w:r>
        <w:rPr>
          <w:rFonts w:ascii="Times New Roman" w:hAnsi="Times New Roman" w:cs="Times New Roman"/>
          <w:sz w:val="24"/>
          <w:szCs w:val="24"/>
        </w:rPr>
        <w:t>február 22</w:t>
      </w:r>
      <w:bookmarkStart w:id="0" w:name="_GoBack"/>
      <w:bookmarkEnd w:id="0"/>
      <w:r w:rsidRPr="00DC5622">
        <w:rPr>
          <w:rFonts w:ascii="Times New Roman" w:hAnsi="Times New Roman" w:cs="Times New Roman"/>
          <w:sz w:val="24"/>
          <w:szCs w:val="24"/>
        </w:rPr>
        <w:t>.</w:t>
      </w:r>
    </w:p>
    <w:p w:rsidR="00711039" w:rsidRDefault="00711039" w:rsidP="00711039"/>
    <w:p w:rsidR="003A6259" w:rsidRDefault="003A6259"/>
    <w:sectPr w:rsidR="003A6259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39"/>
    <w:rsid w:val="003A6259"/>
    <w:rsid w:val="0071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55261-7C64-4770-A3BB-D804E6CE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10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71103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711039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711039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711039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711039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2023-02-22T15:28:00Z</dcterms:created>
  <dcterms:modified xsi:type="dcterms:W3CDTF">2023-02-22T15:29:00Z</dcterms:modified>
</cp:coreProperties>
</file>